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6C2AF660">
      <w:pPr>
        <w:pBdr/>
        <w:spacing/>
        <w:ind/>
        <w:rPr/>
      </w:pPr>
      <w:r>
        <w:rPr>
          <w:sz w:val="40"/>
          <w:szCs w:val="40"/>
        </w:rPr>
        <w:t xml:space="preserve">PROPOSTA DI FINANZIAMENTO</w:t>
      </w:r>
      <w:r>
        <w:rPr>
          <w:sz w:val="40"/>
          <w:szCs w:val="40"/>
        </w:rPr>
      </w:r>
      <w:r/>
    </w:p>
    <w:p w14:paraId="7A32659A">
      <w:pPr>
        <w:pBdr/>
        <w:spacing/>
        <w:ind/>
        <w:rPr/>
      </w:pPr>
      <w:r>
        <w:rPr>
          <w:sz w:val="40"/>
          <w:szCs w:val="40"/>
        </w:rPr>
        <w:t xml:space="preserve">Prezzo totale autovettura: € 23.200,00 (*)</w:t>
      </w:r>
      <w:r>
        <w:rPr>
          <w:sz w:val="40"/>
          <w:szCs w:val="40"/>
        </w:rPr>
      </w:r>
      <w:r/>
    </w:p>
    <w:p w14:paraId="4AECFFB9">
      <w:pPr>
        <w:pBdr/>
        <w:spacing/>
        <w:ind/>
        <w:rPr/>
      </w:pPr>
      <w:r>
        <w:rPr>
          <w:sz w:val="40"/>
          <w:szCs w:val="40"/>
        </w:rPr>
        <w:t xml:space="preserve">Importo anticipo: € 13.200,00</w:t>
      </w:r>
      <w:r>
        <w:rPr>
          <w:sz w:val="40"/>
          <w:szCs w:val="40"/>
        </w:rPr>
      </w:r>
      <w:r/>
    </w:p>
    <w:p w14:paraId="59C65AD2">
      <w:pPr>
        <w:pBdr/>
        <w:spacing/>
        <w:ind/>
        <w:rPr/>
      </w:pPr>
      <w:r>
        <w:rPr>
          <w:sz w:val="40"/>
          <w:szCs w:val="40"/>
        </w:rPr>
        <w:t xml:space="preserve">Importo totale del credito: 10.000,00</w:t>
      </w:r>
      <w:r>
        <w:rPr>
          <w:sz w:val="40"/>
          <w:szCs w:val="40"/>
        </w:rPr>
      </w:r>
      <w:r/>
    </w:p>
    <w:p w14:paraId="3B0F2A50">
      <w:pPr>
        <w:pBdr/>
        <w:spacing/>
        <w:ind/>
        <w:rPr/>
      </w:pPr>
      <w:r>
        <w:rPr>
          <w:sz w:val="40"/>
          <w:szCs w:val="40"/>
        </w:rPr>
        <w:t xml:space="preserve">Totale dovuto dal consumatore: 16.358,00</w:t>
      </w:r>
      <w:r>
        <w:rPr>
          <w:sz w:val="40"/>
          <w:szCs w:val="40"/>
        </w:rPr>
      </w:r>
      <w:r/>
    </w:p>
    <w:p w14:paraId="2ED60098">
      <w:pPr>
        <w:pBdr/>
        <w:spacing/>
        <w:ind/>
        <w:rPr/>
      </w:pPr>
      <w:r>
        <w:rPr>
          <w:sz w:val="40"/>
          <w:szCs w:val="40"/>
        </w:rPr>
        <w:t xml:space="preserve">Numero rate: 96</w:t>
      </w:r>
      <w:r>
        <w:rPr>
          <w:sz w:val="40"/>
          <w:szCs w:val="40"/>
        </w:rPr>
      </w:r>
      <w:r/>
    </w:p>
    <w:p w14:paraId="01AAE428">
      <w:pPr>
        <w:pBdr/>
        <w:spacing/>
        <w:ind/>
        <w:rPr/>
      </w:pPr>
      <w:r>
        <w:rPr>
          <w:sz w:val="40"/>
          <w:szCs w:val="40"/>
        </w:rPr>
        <w:t xml:space="preserve">Importo rata: € 165,00</w:t>
      </w:r>
      <w:r>
        <w:rPr>
          <w:sz w:val="40"/>
          <w:szCs w:val="40"/>
        </w:rPr>
      </w:r>
      <w:r/>
    </w:p>
    <w:p w14:paraId="081B614E">
      <w:pPr>
        <w:pBdr/>
        <w:spacing/>
        <w:ind/>
        <w:rPr/>
      </w:pPr>
      <w:r>
        <w:rPr>
          <w:sz w:val="40"/>
          <w:szCs w:val="40"/>
        </w:rPr>
        <w:t xml:space="preserve">TAN: 10,950%</w:t>
      </w:r>
      <w:r>
        <w:rPr>
          <w:sz w:val="40"/>
          <w:szCs w:val="40"/>
        </w:rPr>
      </w:r>
      <w:r/>
    </w:p>
    <w:p w14:paraId="6D245CC9">
      <w:pPr>
        <w:pBdr/>
        <w:spacing/>
        <w:ind/>
        <w:rPr/>
      </w:pPr>
      <w:r>
        <w:rPr>
          <w:sz w:val="40"/>
          <w:szCs w:val="40"/>
        </w:rPr>
        <w:t xml:space="preserve">TAEG: 14,33%</w:t>
      </w:r>
      <w:r>
        <w:rPr>
          <w:sz w:val="40"/>
          <w:szCs w:val="40"/>
        </w:rPr>
      </w:r>
      <w:r/>
    </w:p>
    <w:p w14:paraId="53898B6D">
      <w:pPr>
        <w:pBdr/>
        <w:spacing/>
        <w:ind/>
        <w:rPr/>
      </w:pPr>
      <w:r>
        <w:rPr>
          <w:sz w:val="40"/>
          <w:szCs w:val="40"/>
        </w:rPr>
        <w:t xml:space="preserve">Spese di istruttoria: € 500,00</w:t>
      </w:r>
      <w:r>
        <w:rPr>
          <w:sz w:val="40"/>
          <w:szCs w:val="40"/>
        </w:rPr>
      </w:r>
      <w:r/>
    </w:p>
    <w:p w14:paraId="2E8E5920">
      <w:pPr>
        <w:pBdr/>
        <w:spacing/>
        <w:ind/>
        <w:rPr/>
      </w:pPr>
      <w:r>
        <w:rPr>
          <w:sz w:val="40"/>
          <w:szCs w:val="40"/>
        </w:rPr>
        <w:t xml:space="preserve">Spese di incasso rata: € 5,00</w:t>
      </w:r>
      <w:r>
        <w:rPr>
          <w:sz w:val="40"/>
          <w:szCs w:val="40"/>
        </w:rPr>
      </w:r>
      <w:r/>
    </w:p>
    <w:p w14:paraId="6275CB3E">
      <w:pPr>
        <w:pBdr/>
        <w:spacing/>
        <w:ind/>
        <w:rPr/>
      </w:pPr>
      <w:r>
        <w:rPr>
          <w:sz w:val="40"/>
          <w:szCs w:val="40"/>
        </w:rPr>
        <w:t xml:space="preserve">Imposta di bollo (sulla prima rata): € 16,00</w:t>
      </w:r>
      <w:r>
        <w:rPr>
          <w:sz w:val="40"/>
          <w:szCs w:val="40"/>
        </w:rPr>
      </w:r>
      <w:r/>
    </w:p>
    <w:p w14:paraId="01C42E62">
      <w:pPr>
        <w:pBdr/>
        <w:spacing/>
        <w:ind/>
        <w:rPr>
          <w:sz w:val="40"/>
          <w:szCs w:val="40"/>
          <w:highlight w:val="none"/>
        </w:rPr>
      </w:pPr>
      <w:r>
        <w:rPr>
          <w:sz w:val="40"/>
          <w:szCs w:val="40"/>
        </w:rPr>
        <w:t xml:space="preserve">(*) IPT e approntamento inclusi</w:t>
      </w:r>
      <w:r>
        <w:rPr>
          <w:sz w:val="40"/>
          <w:szCs w:val="40"/>
          <w:highlight w:val="none"/>
        </w:rPr>
      </w:r>
      <w:r>
        <w:rPr>
          <w:sz w:val="40"/>
          <w:szCs w:val="40"/>
          <w:highlight w:val="none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Table Grid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Table Grid Light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1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2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1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2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3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5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6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7">
    <w:name w:val="Heading 1"/>
    <w:basedOn w:val="886"/>
    <w:next w:val="886"/>
    <w:link w:val="83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8">
    <w:name w:val="Heading 2"/>
    <w:basedOn w:val="886"/>
    <w:next w:val="886"/>
    <w:link w:val="83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9">
    <w:name w:val="Heading 3"/>
    <w:basedOn w:val="886"/>
    <w:next w:val="886"/>
    <w:link w:val="839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0">
    <w:name w:val="Heading 4"/>
    <w:basedOn w:val="886"/>
    <w:next w:val="886"/>
    <w:link w:val="84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1">
    <w:name w:val="Heading 5"/>
    <w:basedOn w:val="886"/>
    <w:next w:val="886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2">
    <w:name w:val="Heading 6"/>
    <w:basedOn w:val="886"/>
    <w:next w:val="886"/>
    <w:link w:val="84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3">
    <w:name w:val="Heading 7"/>
    <w:basedOn w:val="886"/>
    <w:next w:val="886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4">
    <w:name w:val="Heading 8"/>
    <w:basedOn w:val="886"/>
    <w:next w:val="886"/>
    <w:link w:val="84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5">
    <w:name w:val="Heading 9"/>
    <w:basedOn w:val="886"/>
    <w:next w:val="886"/>
    <w:link w:val="84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6" w:default="1">
    <w:name w:val="Default Paragraph Font"/>
    <w:uiPriority w:val="1"/>
    <w:semiHidden/>
    <w:unhideWhenUsed/>
    <w:pPr>
      <w:pBdr/>
      <w:spacing/>
      <w:ind/>
    </w:pPr>
  </w:style>
  <w:style w:type="character" w:styleId="837">
    <w:name w:val="Heading 1 Char"/>
    <w:basedOn w:val="836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8">
    <w:name w:val="Heading 2 Char"/>
    <w:basedOn w:val="836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9">
    <w:name w:val="Heading 3 Char"/>
    <w:basedOn w:val="836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0">
    <w:name w:val="Heading 4 Char"/>
    <w:basedOn w:val="836"/>
    <w:link w:val="83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1">
    <w:name w:val="Heading 5 Char"/>
    <w:basedOn w:val="836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2">
    <w:name w:val="Heading 6 Char"/>
    <w:basedOn w:val="836"/>
    <w:link w:val="83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3">
    <w:name w:val="Heading 7 Char"/>
    <w:basedOn w:val="836"/>
    <w:link w:val="83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4">
    <w:name w:val="Heading 8 Char"/>
    <w:basedOn w:val="836"/>
    <w:link w:val="8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5">
    <w:name w:val="Heading 9 Char"/>
    <w:basedOn w:val="836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6">
    <w:name w:val="Title"/>
    <w:basedOn w:val="886"/>
    <w:next w:val="886"/>
    <w:link w:val="84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7">
    <w:name w:val="Title Char"/>
    <w:basedOn w:val="836"/>
    <w:link w:val="84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8">
    <w:name w:val="Subtitle"/>
    <w:basedOn w:val="886"/>
    <w:next w:val="886"/>
    <w:link w:val="84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9">
    <w:name w:val="Subtitle Char"/>
    <w:basedOn w:val="836"/>
    <w:link w:val="84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0">
    <w:name w:val="Quote"/>
    <w:basedOn w:val="886"/>
    <w:next w:val="886"/>
    <w:link w:val="85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1">
    <w:name w:val="Quote Char"/>
    <w:basedOn w:val="836"/>
    <w:link w:val="85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2">
    <w:name w:val="Intense Emphasis"/>
    <w:basedOn w:val="83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3">
    <w:name w:val="Intense Quote"/>
    <w:basedOn w:val="886"/>
    <w:next w:val="886"/>
    <w:link w:val="85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4">
    <w:name w:val="Intense Quote Char"/>
    <w:basedOn w:val="836"/>
    <w:link w:val="85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5">
    <w:name w:val="Intense Reference"/>
    <w:basedOn w:val="83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6">
    <w:name w:val="Subtle Emphasis"/>
    <w:basedOn w:val="83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Emphasis"/>
    <w:basedOn w:val="836"/>
    <w:uiPriority w:val="20"/>
    <w:qFormat/>
    <w:pPr>
      <w:pBdr/>
      <w:spacing/>
      <w:ind/>
    </w:pPr>
    <w:rPr>
      <w:i/>
      <w:iCs/>
    </w:rPr>
  </w:style>
  <w:style w:type="character" w:styleId="858">
    <w:name w:val="Strong"/>
    <w:basedOn w:val="836"/>
    <w:uiPriority w:val="22"/>
    <w:qFormat/>
    <w:pPr>
      <w:pBdr/>
      <w:spacing/>
      <w:ind/>
    </w:pPr>
    <w:rPr>
      <w:b/>
      <w:bCs/>
    </w:rPr>
  </w:style>
  <w:style w:type="character" w:styleId="859">
    <w:name w:val="Subtle Reference"/>
    <w:basedOn w:val="83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0">
    <w:name w:val="Book Title"/>
    <w:basedOn w:val="83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1">
    <w:name w:val="Header"/>
    <w:basedOn w:val="886"/>
    <w:link w:val="86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2">
    <w:name w:val="Header Char"/>
    <w:basedOn w:val="836"/>
    <w:link w:val="861"/>
    <w:uiPriority w:val="99"/>
    <w:pPr>
      <w:pBdr/>
      <w:spacing/>
      <w:ind/>
    </w:pPr>
  </w:style>
  <w:style w:type="paragraph" w:styleId="863">
    <w:name w:val="Footer"/>
    <w:basedOn w:val="886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Footer Char"/>
    <w:basedOn w:val="836"/>
    <w:link w:val="863"/>
    <w:uiPriority w:val="99"/>
    <w:pPr>
      <w:pBdr/>
      <w:spacing/>
      <w:ind/>
    </w:pPr>
  </w:style>
  <w:style w:type="paragraph" w:styleId="865">
    <w:name w:val="Caption"/>
    <w:basedOn w:val="886"/>
    <w:next w:val="88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6">
    <w:name w:val="footnote text"/>
    <w:basedOn w:val="886"/>
    <w:link w:val="86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7">
    <w:name w:val="Footnote Text Char"/>
    <w:basedOn w:val="836"/>
    <w:link w:val="866"/>
    <w:uiPriority w:val="99"/>
    <w:semiHidden/>
    <w:pPr>
      <w:pBdr/>
      <w:spacing/>
      <w:ind/>
    </w:pPr>
    <w:rPr>
      <w:sz w:val="20"/>
      <w:szCs w:val="20"/>
    </w:rPr>
  </w:style>
  <w:style w:type="character" w:styleId="868">
    <w:name w:val="foot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paragraph" w:styleId="869">
    <w:name w:val="endnote text"/>
    <w:basedOn w:val="886"/>
    <w:link w:val="87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0">
    <w:name w:val="Endnote Text Char"/>
    <w:basedOn w:val="836"/>
    <w:link w:val="869"/>
    <w:uiPriority w:val="99"/>
    <w:semiHidden/>
    <w:pPr>
      <w:pBdr/>
      <w:spacing/>
      <w:ind/>
    </w:pPr>
    <w:rPr>
      <w:sz w:val="20"/>
      <w:szCs w:val="20"/>
    </w:rPr>
  </w:style>
  <w:style w:type="character" w:styleId="871">
    <w:name w:val="end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character" w:styleId="872">
    <w:name w:val="Hyperlink"/>
    <w:basedOn w:val="83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3">
    <w:name w:val="FollowedHyperlink"/>
    <w:basedOn w:val="83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4">
    <w:name w:val="toc 1"/>
    <w:basedOn w:val="886"/>
    <w:next w:val="886"/>
    <w:uiPriority w:val="39"/>
    <w:unhideWhenUsed/>
    <w:pPr>
      <w:pBdr/>
      <w:spacing w:after="100"/>
      <w:ind/>
    </w:pPr>
  </w:style>
  <w:style w:type="paragraph" w:styleId="875">
    <w:name w:val="toc 2"/>
    <w:basedOn w:val="886"/>
    <w:next w:val="886"/>
    <w:uiPriority w:val="39"/>
    <w:unhideWhenUsed/>
    <w:pPr>
      <w:pBdr/>
      <w:spacing w:after="100"/>
      <w:ind w:left="220"/>
    </w:pPr>
  </w:style>
  <w:style w:type="paragraph" w:styleId="876">
    <w:name w:val="toc 3"/>
    <w:basedOn w:val="886"/>
    <w:next w:val="886"/>
    <w:uiPriority w:val="39"/>
    <w:unhideWhenUsed/>
    <w:pPr>
      <w:pBdr/>
      <w:spacing w:after="100"/>
      <w:ind w:left="440"/>
    </w:pPr>
  </w:style>
  <w:style w:type="paragraph" w:styleId="877">
    <w:name w:val="toc 4"/>
    <w:basedOn w:val="886"/>
    <w:next w:val="886"/>
    <w:uiPriority w:val="39"/>
    <w:unhideWhenUsed/>
    <w:pPr>
      <w:pBdr/>
      <w:spacing w:after="100"/>
      <w:ind w:left="660"/>
    </w:pPr>
  </w:style>
  <w:style w:type="paragraph" w:styleId="878">
    <w:name w:val="toc 5"/>
    <w:basedOn w:val="886"/>
    <w:next w:val="886"/>
    <w:uiPriority w:val="39"/>
    <w:unhideWhenUsed/>
    <w:pPr>
      <w:pBdr/>
      <w:spacing w:after="100"/>
      <w:ind w:left="880"/>
    </w:pPr>
  </w:style>
  <w:style w:type="paragraph" w:styleId="879">
    <w:name w:val="toc 6"/>
    <w:basedOn w:val="886"/>
    <w:next w:val="886"/>
    <w:uiPriority w:val="39"/>
    <w:unhideWhenUsed/>
    <w:pPr>
      <w:pBdr/>
      <w:spacing w:after="100"/>
      <w:ind w:left="1100"/>
    </w:pPr>
  </w:style>
  <w:style w:type="paragraph" w:styleId="880">
    <w:name w:val="toc 7"/>
    <w:basedOn w:val="886"/>
    <w:next w:val="886"/>
    <w:uiPriority w:val="39"/>
    <w:unhideWhenUsed/>
    <w:pPr>
      <w:pBdr/>
      <w:spacing w:after="100"/>
      <w:ind w:left="1320"/>
    </w:pPr>
  </w:style>
  <w:style w:type="paragraph" w:styleId="881">
    <w:name w:val="toc 8"/>
    <w:basedOn w:val="886"/>
    <w:next w:val="886"/>
    <w:uiPriority w:val="39"/>
    <w:unhideWhenUsed/>
    <w:pPr>
      <w:pBdr/>
      <w:spacing w:after="100"/>
      <w:ind w:left="1540"/>
    </w:pPr>
  </w:style>
  <w:style w:type="paragraph" w:styleId="882">
    <w:name w:val="toc 9"/>
    <w:basedOn w:val="886"/>
    <w:next w:val="886"/>
    <w:uiPriority w:val="39"/>
    <w:unhideWhenUsed/>
    <w:pPr>
      <w:pBdr/>
      <w:spacing w:after="100"/>
      <w:ind w:left="1760"/>
    </w:pPr>
  </w:style>
  <w:style w:type="character" w:styleId="883">
    <w:name w:val="Placeholder Text"/>
    <w:basedOn w:val="836"/>
    <w:uiPriority w:val="99"/>
    <w:semiHidden/>
    <w:pPr>
      <w:pBdr/>
      <w:spacing/>
      <w:ind/>
    </w:pPr>
    <w:rPr>
      <w:color w:val="666666"/>
    </w:rPr>
  </w:style>
  <w:style w:type="paragraph" w:styleId="884">
    <w:name w:val="TOC Heading"/>
    <w:uiPriority w:val="39"/>
    <w:unhideWhenUsed/>
    <w:pPr>
      <w:pBdr/>
      <w:spacing/>
      <w:ind/>
    </w:pPr>
  </w:style>
  <w:style w:type="paragraph" w:styleId="885">
    <w:name w:val="table of figures"/>
    <w:basedOn w:val="886"/>
    <w:next w:val="886"/>
    <w:uiPriority w:val="99"/>
    <w:unhideWhenUsed/>
    <w:pPr>
      <w:pBdr/>
      <w:spacing w:after="0" w:afterAutospacing="0"/>
      <w:ind/>
    </w:pPr>
  </w:style>
  <w:style w:type="paragraph" w:styleId="886" w:default="1">
    <w:name w:val="Normal"/>
    <w:qFormat/>
    <w:pPr>
      <w:pBdr/>
      <w:spacing/>
      <w:ind/>
    </w:pPr>
  </w:style>
  <w:style w:type="table" w:styleId="88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8" w:default="1">
    <w:name w:val="No List"/>
    <w:uiPriority w:val="99"/>
    <w:semiHidden/>
    <w:unhideWhenUsed/>
    <w:pPr>
      <w:pBdr/>
      <w:spacing/>
      <w:ind/>
    </w:pPr>
  </w:style>
  <w:style w:type="paragraph" w:styleId="889">
    <w:name w:val="No Spacing"/>
    <w:basedOn w:val="886"/>
    <w:uiPriority w:val="1"/>
    <w:qFormat/>
    <w:pPr>
      <w:pBdr/>
      <w:spacing w:after="0" w:line="240" w:lineRule="auto"/>
      <w:ind/>
    </w:pPr>
  </w:style>
  <w:style w:type="paragraph" w:styleId="890">
    <w:name w:val="List Paragraph"/>
    <w:basedOn w:val="886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6</cp:revision>
  <dcterms:modified xsi:type="dcterms:W3CDTF">2026-10-07T16:09:31Z</dcterms:modified>
</cp:coreProperties>
</file>